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br/>
        <w:t># Manuel de Règlement Intérieur du Laboratoire</w:t>
        <w:br/>
        <w:br/>
        <w:t xml:space="preserve">Nom du laboratoire : Laboratoire de Chimie Végétale et Composés Fonctionnels  </w:t>
        <w:br/>
        <w:t xml:space="preserve">Portée : Utilisation pour l’enseignement et la recherche, couvrant la physiologie végétale, la chimie des produits naturels, la biochimie, les plantes médicinales, les sciences de l’environnement et les tests alimentaires.  </w:t>
        <w:br/>
        <w:t>Utilisateurs concernés : Enseignants, étudiants, chercheurs partenaires, stagiaires visiteurs</w:t>
        <w:br/>
        <w:br/>
        <w:t>... (Le contenu complet suivra la structure du texte chinois original)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SimSun" w:hAnsi="SimSun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