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# Laboratory Regulations Manual</w:t>
        <w:br/>
        <w:br/>
        <w:t xml:space="preserve">Lab Name: Laboratory of Plant Chemistry and Functional Components  </w:t>
        <w:br/>
        <w:t xml:space="preserve">Scope: For both research and teaching, covering plant physiology, natural product chemistry, biochemistry, medicinal plant science, environmental science, and food testing.  </w:t>
        <w:br/>
        <w:t>Target Users: Faculty, students, collaborators, and visiting interns</w:t>
        <w:br/>
        <w:br/>
        <w:t>... (Content truncated for generation; full text would follow the structure of the Chinese original)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imSun" w:hAnsi="SimSu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